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E10A" w14:textId="77777777" w:rsidR="00E946DB" w:rsidRPr="006419DE" w:rsidRDefault="00E946DB" w:rsidP="00E946DB">
      <w:pPr>
        <w:pStyle w:val="ae"/>
        <w:jc w:val="center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6419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南化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西埔左鎮國小三</w:t>
      </w:r>
      <w:r w:rsidRPr="006419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校聯合</w:t>
      </w:r>
      <w:r w:rsidRPr="006419D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定期評量命題與試題審查計畫暨評量實施要點</w:t>
      </w:r>
    </w:p>
    <w:p w14:paraId="3E782A7A" w14:textId="77777777" w:rsidR="00E946DB" w:rsidRPr="006419DE" w:rsidRDefault="00E946DB" w:rsidP="00E946DB">
      <w:pPr>
        <w:spacing w:line="360" w:lineRule="exact"/>
        <w:rPr>
          <w:rFonts w:ascii="標楷體" w:eastAsia="標楷體" w:hAnsi="標楷體" w:cs="Arial"/>
          <w:color w:val="000000" w:themeColor="text1"/>
          <w:sz w:val="26"/>
        </w:rPr>
      </w:pPr>
    </w:p>
    <w:p w14:paraId="23026F1A" w14:textId="77777777" w:rsidR="00E946DB" w:rsidRPr="006419DE" w:rsidRDefault="00E946DB" w:rsidP="00E946DB">
      <w:pPr>
        <w:spacing w:line="276" w:lineRule="auto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b/>
          <w:color w:val="000000" w:themeColor="text1"/>
          <w:sz w:val="26"/>
        </w:rPr>
        <w:t>壹、依據：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一、「</w:t>
      </w:r>
      <w:proofErr w:type="gramStart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臺</w:t>
      </w:r>
      <w:proofErr w:type="gramEnd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南市國民小學學生成績評量辦法」辦理。</w:t>
      </w:r>
    </w:p>
    <w:p w14:paraId="2F6CF7B0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 xml:space="preserve">          二、本校108年8</w:t>
      </w:r>
      <w:r>
        <w:rPr>
          <w:rFonts w:ascii="標楷體" w:eastAsia="標楷體" w:hAnsi="標楷體" w:cs="Arial" w:hint="eastAsia"/>
          <w:color w:val="000000" w:themeColor="text1"/>
          <w:sz w:val="26"/>
        </w:rPr>
        <w:t>月份主管會議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通過辦理，110年4月份評量要點會議修正</w:t>
      </w:r>
      <w:r>
        <w:rPr>
          <w:rFonts w:ascii="標楷體" w:eastAsia="標楷體" w:hAnsi="標楷體" w:cs="Arial" w:hint="eastAsia"/>
          <w:color w:val="000000" w:themeColor="text1"/>
          <w:sz w:val="26"/>
        </w:rPr>
        <w:t>，113</w:t>
      </w:r>
    </w:p>
    <w:p w14:paraId="0266DA1B" w14:textId="77777777" w:rsidR="00E946DB" w:rsidRPr="006419DE" w:rsidRDefault="00E946DB" w:rsidP="00E946DB">
      <w:pPr>
        <w:spacing w:line="276" w:lineRule="auto"/>
        <w:ind w:leftChars="767" w:left="1841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年</w:t>
      </w:r>
      <w:r>
        <w:rPr>
          <w:rFonts w:ascii="標楷體" w:eastAsia="標楷體" w:hAnsi="標楷體" w:cs="Arial" w:hint="eastAsia"/>
          <w:color w:val="000000" w:themeColor="text1"/>
          <w:sz w:val="26"/>
        </w:rPr>
        <w:t>8月份主管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會議修正。</w:t>
      </w:r>
    </w:p>
    <w:p w14:paraId="3EC9F601" w14:textId="77777777" w:rsidR="00E946DB" w:rsidRPr="006419DE" w:rsidRDefault="00E946DB" w:rsidP="00E946DB">
      <w:pPr>
        <w:adjustRightInd w:val="0"/>
        <w:snapToGrid w:val="0"/>
        <w:spacing w:line="180" w:lineRule="exact"/>
        <w:rPr>
          <w:rFonts w:ascii="標楷體" w:eastAsia="標楷體" w:hAnsi="標楷體" w:cs="Arial"/>
          <w:color w:val="000000" w:themeColor="text1"/>
          <w:sz w:val="26"/>
        </w:rPr>
      </w:pPr>
    </w:p>
    <w:p w14:paraId="64EF670B" w14:textId="77777777" w:rsidR="00E946DB" w:rsidRPr="006419DE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b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b/>
          <w:color w:val="000000" w:themeColor="text1"/>
          <w:sz w:val="26"/>
        </w:rPr>
        <w:t>貳、目的：</w:t>
      </w:r>
    </w:p>
    <w:p w14:paraId="4F510A4E" w14:textId="77777777" w:rsidR="00E946DB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一、檢核評量符合教學目標</w:t>
      </w:r>
      <w:r>
        <w:rPr>
          <w:rFonts w:ascii="標楷體" w:eastAsia="標楷體" w:hAnsi="標楷體" w:cs="Arial" w:hint="eastAsia"/>
          <w:sz w:val="26"/>
        </w:rPr>
        <w:t>及教學內容之程度並兼顧認知、技能與情意領域。</w:t>
      </w:r>
    </w:p>
    <w:p w14:paraId="73052F18" w14:textId="77777777" w:rsidR="00E946DB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二、經由評量隨時診斷學生習困難，並進行補救教學。</w:t>
      </w:r>
    </w:p>
    <w:p w14:paraId="28ECA6FA" w14:textId="77777777" w:rsidR="00E946DB" w:rsidRDefault="00E946DB" w:rsidP="00E946DB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提昇教師命題客觀性，協助建立命題控管機制。</w:t>
      </w:r>
    </w:p>
    <w:p w14:paraId="19CE9705" w14:textId="77777777" w:rsidR="00E946DB" w:rsidRDefault="00E946DB" w:rsidP="00E946DB">
      <w:pPr>
        <w:numPr>
          <w:ilvl w:val="0"/>
          <w:numId w:val="1"/>
        </w:num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透過校際聯合命題與協助教師透過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試題互審達到</w:t>
      </w:r>
      <w:proofErr w:type="gramEnd"/>
      <w:r>
        <w:rPr>
          <w:rFonts w:ascii="標楷體" w:eastAsia="標楷體" w:hAnsi="標楷體" w:hint="eastAsia"/>
          <w:sz w:val="26"/>
          <w:szCs w:val="26"/>
        </w:rPr>
        <w:t>專業成長。</w:t>
      </w:r>
    </w:p>
    <w:p w14:paraId="25845842" w14:textId="77777777" w:rsidR="00E946DB" w:rsidRDefault="00E946DB" w:rsidP="00E946DB">
      <w:pPr>
        <w:ind w:left="527"/>
        <w:rPr>
          <w:rFonts w:ascii="標楷體" w:eastAsia="標楷體" w:hAnsi="標楷體"/>
          <w:sz w:val="26"/>
          <w:szCs w:val="26"/>
        </w:rPr>
      </w:pPr>
    </w:p>
    <w:p w14:paraId="613AB3B7" w14:textId="77777777" w:rsidR="00E946DB" w:rsidRPr="006419DE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b/>
          <w:sz w:val="26"/>
        </w:rPr>
      </w:pPr>
      <w:r w:rsidRPr="006419DE">
        <w:rPr>
          <w:rFonts w:ascii="標楷體" w:eastAsia="標楷體" w:hAnsi="標楷體" w:cs="Arial" w:hint="eastAsia"/>
          <w:b/>
          <w:sz w:val="26"/>
        </w:rPr>
        <w:t>參、組織：</w:t>
      </w:r>
    </w:p>
    <w:p w14:paraId="240D6839" w14:textId="77777777" w:rsidR="00E946DB" w:rsidRDefault="00E946DB" w:rsidP="00E946DB">
      <w:pPr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建立校際命題審查小組：由專業教師組成，協助教師進行命題及審查工作。</w:t>
      </w:r>
    </w:p>
    <w:p w14:paraId="31640609" w14:textId="77777777" w:rsidR="00E946DB" w:rsidRDefault="00E946DB" w:rsidP="00E946DB">
      <w:pPr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成員包括：校長、教導主任、教務組長、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課發會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代表、學年代表及專業教師等。</w:t>
      </w:r>
    </w:p>
    <w:p w14:paraId="65484B01" w14:textId="77777777" w:rsidR="00E946DB" w:rsidRDefault="00E946DB" w:rsidP="00E946DB">
      <w:pPr>
        <w:adjustRightInd w:val="0"/>
        <w:snapToGrid w:val="0"/>
        <w:rPr>
          <w:rFonts w:ascii="標楷體" w:eastAsia="標楷體" w:hAnsi="標楷體" w:cs="Arial"/>
          <w:b/>
          <w:sz w:val="26"/>
        </w:rPr>
      </w:pPr>
    </w:p>
    <w:p w14:paraId="217246FF" w14:textId="77777777" w:rsidR="00E946DB" w:rsidRPr="006419DE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b/>
          <w:sz w:val="26"/>
        </w:rPr>
      </w:pPr>
      <w:r w:rsidRPr="006419DE">
        <w:rPr>
          <w:rFonts w:ascii="標楷體" w:eastAsia="標楷體" w:hAnsi="標楷體" w:cs="Arial" w:hint="eastAsia"/>
          <w:b/>
          <w:sz w:val="26"/>
        </w:rPr>
        <w:t>肆、實施原則：</w:t>
      </w:r>
    </w:p>
    <w:p w14:paraId="381A721D" w14:textId="77777777" w:rsidR="00E946DB" w:rsidRDefault="00E946DB" w:rsidP="00E946DB">
      <w:pPr>
        <w:adjustRightInd w:val="0"/>
        <w:snapToGrid w:val="0"/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一、由三校各學科任課老師輪流命題並實施評量。</w:t>
      </w:r>
    </w:p>
    <w:p w14:paraId="69989554" w14:textId="77777777" w:rsidR="00E946DB" w:rsidRDefault="00E946DB" w:rsidP="00E946DB">
      <w:pPr>
        <w:adjustRightInd w:val="0"/>
        <w:snapToGrid w:val="0"/>
        <w:spacing w:line="276" w:lineRule="auto"/>
        <w:ind w:left="520" w:rightChars="-127" w:right="-305" w:hangingChars="200" w:hanging="52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二、落實教師教學自主，教師應依專業素養對學生進行適才適性之多元化評量，不僅於紙筆。</w:t>
      </w:r>
    </w:p>
    <w:p w14:paraId="1DA5ACB5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三、成績考查原始資料至少保存一年。</w:t>
      </w:r>
    </w:p>
    <w:p w14:paraId="77DF5286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四、學期初教師應告知學生考查方式。</w:t>
      </w:r>
    </w:p>
    <w:p w14:paraId="4D6DD66A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五、教師設計評量試題時，</w:t>
      </w:r>
      <w:r w:rsidRPr="00E12281">
        <w:rPr>
          <w:rFonts w:ascii="標楷體" w:eastAsia="標楷體" w:hAnsi="標楷體" w:cs="Arial" w:hint="eastAsia"/>
          <w:sz w:val="26"/>
          <w:shd w:val="pct15" w:color="auto" w:fill="FFFFFF"/>
        </w:rPr>
        <w:t>不得直接引用坊間出版之試題，亦不得直接沿用先前年度試題</w:t>
      </w:r>
      <w:r>
        <w:rPr>
          <w:rFonts w:ascii="標楷體" w:eastAsia="標楷體" w:hAnsi="標楷體" w:cs="Arial" w:hint="eastAsia"/>
          <w:sz w:val="26"/>
        </w:rPr>
        <w:t>。</w:t>
      </w:r>
    </w:p>
    <w:p w14:paraId="09C7848A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六、落實審題機制並遵守迴避原則，</w:t>
      </w:r>
      <w:r w:rsidRPr="00E12281">
        <w:rPr>
          <w:rFonts w:ascii="標楷體" w:eastAsia="標楷體" w:hAnsi="標楷體" w:cs="Arial" w:hint="eastAsia"/>
          <w:sz w:val="26"/>
          <w:shd w:val="pct15" w:color="auto" w:fill="FFFFFF"/>
        </w:rPr>
        <w:t>學校教育人員不得有</w:t>
      </w:r>
      <w:proofErr w:type="gramStart"/>
      <w:r w:rsidRPr="00E12281">
        <w:rPr>
          <w:rFonts w:ascii="標楷體" w:eastAsia="標楷體" w:hAnsi="標楷體" w:cs="Arial" w:hint="eastAsia"/>
          <w:sz w:val="26"/>
          <w:shd w:val="pct15" w:color="auto" w:fill="FFFFFF"/>
        </w:rPr>
        <w:t>洩</w:t>
      </w:r>
      <w:proofErr w:type="gramEnd"/>
      <w:r w:rsidRPr="00E12281">
        <w:rPr>
          <w:rFonts w:ascii="標楷體" w:eastAsia="標楷體" w:hAnsi="標楷體" w:cs="Arial" w:hint="eastAsia"/>
          <w:sz w:val="26"/>
          <w:shd w:val="pct15" w:color="auto" w:fill="FFFFFF"/>
        </w:rPr>
        <w:t>題或暴露試卷之行為</w:t>
      </w:r>
      <w:r>
        <w:rPr>
          <w:rFonts w:ascii="標楷體" w:eastAsia="標楷體" w:hAnsi="標楷體" w:cs="Arial" w:hint="eastAsia"/>
          <w:sz w:val="26"/>
        </w:rPr>
        <w:t>。</w:t>
      </w:r>
    </w:p>
    <w:p w14:paraId="4634686A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sz w:val="26"/>
        </w:rPr>
      </w:pPr>
    </w:p>
    <w:p w14:paraId="639692E2" w14:textId="77777777" w:rsidR="00E946DB" w:rsidRPr="006419DE" w:rsidRDefault="00E946DB" w:rsidP="00E946DB">
      <w:pPr>
        <w:spacing w:line="276" w:lineRule="auto"/>
        <w:rPr>
          <w:rFonts w:ascii="標楷體" w:eastAsia="標楷體" w:hAnsi="標楷體" w:cs="Arial"/>
          <w:b/>
          <w:sz w:val="26"/>
        </w:rPr>
      </w:pPr>
      <w:r w:rsidRPr="006419DE">
        <w:rPr>
          <w:rFonts w:ascii="標楷體" w:eastAsia="標楷體" w:hAnsi="標楷體" w:cs="Arial" w:hint="eastAsia"/>
          <w:b/>
          <w:sz w:val="26"/>
        </w:rPr>
        <w:t>伍、實施方式：</w:t>
      </w:r>
    </w:p>
    <w:p w14:paraId="228DC2EB" w14:textId="77777777" w:rsidR="00E946DB" w:rsidRPr="006419DE" w:rsidRDefault="00E946DB" w:rsidP="00E946DB">
      <w:pPr>
        <w:spacing w:line="276" w:lineRule="auto"/>
        <w:ind w:left="1841" w:hangingChars="708" w:hanging="1841"/>
        <w:jc w:val="both"/>
        <w:rPr>
          <w:rFonts w:ascii="標楷體" w:eastAsia="標楷體" w:hAnsi="標楷體" w:cs="Arial"/>
          <w:color w:val="000000" w:themeColor="text1"/>
          <w:sz w:val="26"/>
        </w:rPr>
      </w:pPr>
      <w:r>
        <w:rPr>
          <w:rFonts w:ascii="標楷體" w:eastAsia="標楷體" w:hAnsi="標楷體" w:cs="Arial" w:hint="eastAsia"/>
          <w:sz w:val="26"/>
        </w:rPr>
        <w:t>一、考查方式：依各學科及活動性質，採取多元化評量，如：鑑賞、報告、表演、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實作、資料蒐集整理、設計製作、作業、</w:t>
      </w:r>
      <w:r>
        <w:rPr>
          <w:rFonts w:ascii="標楷體" w:eastAsia="標楷體" w:hAnsi="標楷體" w:cs="Arial" w:hint="eastAsia"/>
          <w:color w:val="000000" w:themeColor="text1"/>
          <w:sz w:val="26"/>
        </w:rPr>
        <w:t>口說、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紙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lastRenderedPageBreak/>
        <w:t>筆測驗或其他方式。</w:t>
      </w:r>
    </w:p>
    <w:p w14:paraId="337B6A8B" w14:textId="77777777" w:rsidR="00E946DB" w:rsidRPr="006419DE" w:rsidRDefault="00E946DB" w:rsidP="00E946DB">
      <w:pPr>
        <w:spacing w:line="276" w:lineRule="auto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二、定期考查次數：每學期進行二次定期評量。</w:t>
      </w:r>
    </w:p>
    <w:p w14:paraId="20B320AD" w14:textId="77777777" w:rsidR="00E946DB" w:rsidRPr="006419DE" w:rsidRDefault="00E946DB" w:rsidP="00E946DB">
      <w:pPr>
        <w:spacing w:line="276" w:lineRule="auto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三、定期考查日期：每日至多考查三科，分佈於</w:t>
      </w:r>
      <w:proofErr w:type="gramStart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一週</w:t>
      </w:r>
      <w:proofErr w:type="gramEnd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內考查完畢。</w:t>
      </w:r>
    </w:p>
    <w:p w14:paraId="12F95FF2" w14:textId="77777777" w:rsidR="00E946DB" w:rsidRPr="006419DE" w:rsidRDefault="00E946DB" w:rsidP="00E946DB">
      <w:pPr>
        <w:adjustRightInd w:val="0"/>
        <w:snapToGrid w:val="0"/>
        <w:spacing w:line="276" w:lineRule="auto"/>
        <w:ind w:left="2408" w:rightChars="-127" w:right="-305" w:hangingChars="926" w:hanging="2408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 xml:space="preserve">四、定期考查時間: </w:t>
      </w:r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依教導處公告時間及考試鐘聲為主，不得任意延長或提早結束考試時間。</w:t>
      </w:r>
      <w:proofErr w:type="gramStart"/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唯若鐘響</w:t>
      </w:r>
      <w:proofErr w:type="gramEnd"/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時監考老師評估多數學生皆未作答完畢，有延長考試之必要，得以延長考試時間至下一節考試開始前為止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。</w:t>
      </w:r>
    </w:p>
    <w:p w14:paraId="03E28B41" w14:textId="77777777" w:rsidR="00E946DB" w:rsidRPr="006419DE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五、定期考查當</w:t>
      </w:r>
      <w:proofErr w:type="gramStart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週</w:t>
      </w:r>
      <w:proofErr w:type="gramEnd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行事：配合課表進行考查，考查後仍依課表上課，不得逕行放學。</w:t>
      </w:r>
    </w:p>
    <w:p w14:paraId="2504E2E7" w14:textId="77777777" w:rsidR="00E946DB" w:rsidRPr="006419DE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六、每日考查科目：以教導處公告為</w:t>
      </w:r>
      <w:proofErr w:type="gramStart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準</w:t>
      </w:r>
      <w:proofErr w:type="gramEnd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。</w:t>
      </w:r>
    </w:p>
    <w:p w14:paraId="47818ACA" w14:textId="77777777" w:rsidR="00E946DB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七、平時考查：</w:t>
      </w:r>
      <w:proofErr w:type="gramStart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依各任課</w:t>
      </w:r>
      <w:proofErr w:type="gramEnd"/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教</w:t>
      </w:r>
      <w:r>
        <w:rPr>
          <w:rFonts w:ascii="標楷體" w:eastAsia="標楷體" w:hAnsi="標楷體" w:cs="Arial" w:hint="eastAsia"/>
          <w:sz w:val="26"/>
        </w:rPr>
        <w:t>師視教學需要隨時進行形成性評量。</w:t>
      </w:r>
    </w:p>
    <w:p w14:paraId="4FB63D2D" w14:textId="77777777" w:rsidR="00E946DB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八、命題教師：由任教同年級同課程之三校老師輪流命題。</w:t>
      </w:r>
    </w:p>
    <w:p w14:paraId="1D55C05D" w14:textId="77777777" w:rsidR="00E946DB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九、命題範圍：</w:t>
      </w:r>
      <w:proofErr w:type="gramStart"/>
      <w:r>
        <w:rPr>
          <w:rFonts w:ascii="標楷體" w:eastAsia="標楷體" w:hAnsi="標楷體" w:cs="Arial" w:hint="eastAsia"/>
          <w:sz w:val="26"/>
        </w:rPr>
        <w:t>各任課</w:t>
      </w:r>
      <w:proofErr w:type="gramEnd"/>
      <w:r>
        <w:rPr>
          <w:rFonts w:ascii="標楷體" w:eastAsia="標楷體" w:hAnsi="標楷體" w:cs="Arial" w:hint="eastAsia"/>
          <w:sz w:val="26"/>
        </w:rPr>
        <w:t>教師依三校各班之實際教學進度與教材內容命題之，唯仍應依照課程標準之內容授課，不得私自減少授課節數，以維護學生基本受教權益。</w:t>
      </w:r>
    </w:p>
    <w:p w14:paraId="7DC18187" w14:textId="77777777" w:rsidR="00E946DB" w:rsidRDefault="00E946DB" w:rsidP="00E946DB">
      <w:pPr>
        <w:adjustRightInd w:val="0"/>
        <w:snapToGrid w:val="0"/>
        <w:spacing w:line="276" w:lineRule="auto"/>
        <w:ind w:left="1820" w:hangingChars="700" w:hanging="182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十、</w:t>
      </w:r>
      <w:r>
        <w:rPr>
          <w:rFonts w:ascii="標楷體" w:eastAsia="標楷體" w:hAnsi="標楷體" w:cs="Arial" w:hint="eastAsia"/>
          <w:sz w:val="26"/>
        </w:rPr>
        <w:t>命題審查：試題審查由該科授課教師負責審題，教師初審完畢於試題檢核表簽名後與試卷一併交至教導處進行</w:t>
      </w:r>
      <w:proofErr w:type="gramStart"/>
      <w:r>
        <w:rPr>
          <w:rFonts w:ascii="標楷體" w:eastAsia="標楷體" w:hAnsi="標楷體" w:cs="Arial" w:hint="eastAsia"/>
          <w:sz w:val="26"/>
        </w:rPr>
        <w:t>複</w:t>
      </w:r>
      <w:proofErr w:type="gramEnd"/>
      <w:r>
        <w:rPr>
          <w:rFonts w:ascii="標楷體" w:eastAsia="標楷體" w:hAnsi="標楷體" w:cs="Arial" w:hint="eastAsia"/>
          <w:sz w:val="26"/>
        </w:rPr>
        <w:t>審。</w:t>
      </w:r>
    </w:p>
    <w:p w14:paraId="03931EC5" w14:textId="77777777" w:rsidR="00E946DB" w:rsidRPr="006419DE" w:rsidRDefault="00E946DB" w:rsidP="00E946DB">
      <w:pPr>
        <w:spacing w:line="276" w:lineRule="auto"/>
        <w:ind w:left="2127" w:hangingChars="818" w:hanging="2127"/>
        <w:rPr>
          <w:rFonts w:ascii="標楷體" w:eastAsia="標楷體" w:hAnsi="標楷體" w:cs="Arial"/>
          <w:color w:val="000000" w:themeColor="text1"/>
          <w:sz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十一、監考老師：</w:t>
      </w:r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由教導處公告時間之</w:t>
      </w:r>
      <w:proofErr w:type="gramStart"/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該節任課</w:t>
      </w:r>
      <w:proofErr w:type="gramEnd"/>
      <w:r w:rsidRPr="00D57F0E">
        <w:rPr>
          <w:rFonts w:ascii="標楷體" w:eastAsia="標楷體" w:hAnsi="標楷體" w:cs="Arial" w:hint="eastAsia"/>
          <w:color w:val="000000" w:themeColor="text1"/>
          <w:sz w:val="26"/>
          <w:shd w:val="pct15" w:color="auto" w:fill="FFFFFF"/>
        </w:rPr>
        <w:t>老師監考為原則</w:t>
      </w: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，命題教師應於考試時至考試班級了解學生考試狀況，必要時提供指導與協助。</w:t>
      </w:r>
    </w:p>
    <w:p w14:paraId="3E100F75" w14:textId="77777777" w:rsidR="00E946DB" w:rsidRPr="006419DE" w:rsidRDefault="00E946DB" w:rsidP="00E946DB">
      <w:pPr>
        <w:spacing w:line="276" w:lineRule="auto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E">
        <w:rPr>
          <w:rFonts w:ascii="標楷體" w:eastAsia="標楷體" w:hAnsi="標楷體" w:cs="Arial" w:hint="eastAsia"/>
          <w:color w:val="000000" w:themeColor="text1"/>
          <w:sz w:val="26"/>
        </w:rPr>
        <w:t>十二、</w:t>
      </w:r>
      <w:r w:rsidRPr="006419DE">
        <w:rPr>
          <w:rFonts w:ascii="標楷體" w:eastAsia="標楷體" w:hAnsi="標楷體" w:hint="eastAsia"/>
          <w:color w:val="000000" w:themeColor="text1"/>
          <w:sz w:val="26"/>
          <w:szCs w:val="26"/>
        </w:rPr>
        <w:t>保密：凡參加審查的教師，須信守保密原則，勿將試題外</w:t>
      </w:r>
      <w:proofErr w:type="gramStart"/>
      <w:r w:rsidRPr="006419DE">
        <w:rPr>
          <w:rFonts w:ascii="標楷體" w:eastAsia="標楷體" w:hAnsi="標楷體" w:hint="eastAsia"/>
          <w:color w:val="000000" w:themeColor="text1"/>
          <w:sz w:val="26"/>
          <w:szCs w:val="26"/>
        </w:rPr>
        <w:t>洩</w:t>
      </w:r>
      <w:proofErr w:type="gramEnd"/>
    </w:p>
    <w:p w14:paraId="092DD592" w14:textId="77777777" w:rsidR="00E946DB" w:rsidRPr="006419DE" w:rsidRDefault="00E946DB" w:rsidP="00E946DB">
      <w:pPr>
        <w:spacing w:line="276" w:lineRule="auto"/>
        <w:ind w:left="1984" w:hangingChars="763" w:hanging="19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E">
        <w:rPr>
          <w:rFonts w:ascii="標楷體" w:eastAsia="標楷體" w:hAnsi="標楷體" w:hint="eastAsia"/>
          <w:color w:val="000000" w:themeColor="text1"/>
          <w:sz w:val="26"/>
          <w:szCs w:val="26"/>
        </w:rPr>
        <w:t>十三、試場規定:由監考老師提醒學生遵守試場規則，並善盡監考職責，勿有作弊等情事發生，</w:t>
      </w:r>
      <w:r w:rsidRPr="005056EC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</w:rPr>
        <w:t>若學生作弊屬實，則其實得分數以原分數</w:t>
      </w:r>
      <w:proofErr w:type="gramStart"/>
      <w:r w:rsidRPr="005056EC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</w:rPr>
        <w:t>6成</w:t>
      </w:r>
      <w:proofErr w:type="gramEnd"/>
      <w:r w:rsidRPr="005056EC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</w:rPr>
        <w:t>計，情節重大(累犯、當場不聽規勸…等)則以0分計</w:t>
      </w:r>
      <w:r w:rsidRPr="006419D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E670241" w14:textId="77777777" w:rsidR="00E946DB" w:rsidRPr="006419DE" w:rsidRDefault="00E946DB" w:rsidP="00E946DB">
      <w:pPr>
        <w:spacing w:line="276" w:lineRule="auto"/>
        <w:jc w:val="both"/>
        <w:rPr>
          <w:rFonts w:ascii="標楷體" w:eastAsia="標楷體" w:hAnsi="標楷體"/>
          <w:b/>
          <w:sz w:val="26"/>
          <w:szCs w:val="26"/>
        </w:rPr>
      </w:pPr>
      <w:r w:rsidRPr="006419DE">
        <w:rPr>
          <w:rFonts w:ascii="標楷體" w:eastAsia="標楷體" w:hAnsi="標楷體" w:hint="eastAsia"/>
          <w:b/>
          <w:sz w:val="26"/>
          <w:szCs w:val="26"/>
        </w:rPr>
        <w:t>陸、試題審查參考標準：</w:t>
      </w:r>
    </w:p>
    <w:p w14:paraId="10CE44A5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（一）題目難易適中</w:t>
      </w:r>
    </w:p>
    <w:p w14:paraId="542C16ED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（二）試題具鑑別度</w:t>
      </w:r>
    </w:p>
    <w:p w14:paraId="3A7869A6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（三）各單元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各題型配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分適當</w:t>
      </w:r>
    </w:p>
    <w:p w14:paraId="3879E032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（四）合乎教學目標</w:t>
      </w:r>
    </w:p>
    <w:p w14:paraId="369A9E4E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（五）題意及作答說明清楚明確</w:t>
      </w:r>
    </w:p>
    <w:p w14:paraId="64B7DC64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（六）版面編排適宜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包括字型、字體、行距….）</w:t>
      </w:r>
    </w:p>
    <w:p w14:paraId="7C8EE228" w14:textId="77777777" w:rsidR="00E946DB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（七）題型設計有創意</w:t>
      </w:r>
    </w:p>
    <w:p w14:paraId="10872613" w14:textId="77777777" w:rsidR="00E946DB" w:rsidRPr="006419DE" w:rsidRDefault="00E946DB" w:rsidP="00E946DB">
      <w:pPr>
        <w:spacing w:line="276" w:lineRule="auto"/>
        <w:ind w:leftChars="225" w:left="545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（八）試題內涵包括記憶、理解、應用、分析、綜合、評鑑六大層次，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lastRenderedPageBreak/>
        <w:t>且配分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適當</w:t>
      </w:r>
    </w:p>
    <w:p w14:paraId="2BCC5F06" w14:textId="77777777" w:rsidR="00E946DB" w:rsidRPr="006419DE" w:rsidRDefault="00E946DB" w:rsidP="00E946DB">
      <w:pPr>
        <w:spacing w:line="276" w:lineRule="auto"/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 w:rsidRPr="006419DE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6419DE">
        <w:rPr>
          <w:rFonts w:ascii="標楷體" w:eastAsia="標楷體" w:hAnsi="標楷體" w:hint="eastAsia"/>
          <w:b/>
          <w:sz w:val="26"/>
          <w:szCs w:val="26"/>
        </w:rPr>
        <w:t>、試題審查流程：</w:t>
      </w:r>
    </w:p>
    <w:p w14:paraId="5A6644E4" w14:textId="77777777" w:rsidR="00E946DB" w:rsidRDefault="00E946DB" w:rsidP="00E946DB">
      <w:pPr>
        <w:spacing w:line="276" w:lineRule="auto"/>
        <w:ind w:leftChars="236" w:left="1276" w:hangingChars="273" w:hanging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 命題：定期評量前一個月由命題教師進行命題工作。</w:t>
      </w:r>
    </w:p>
    <w:p w14:paraId="206DC542" w14:textId="77777777" w:rsidR="00E946DB" w:rsidRDefault="00E946DB" w:rsidP="00E946DB">
      <w:pPr>
        <w:spacing w:line="276" w:lineRule="auto"/>
        <w:ind w:leftChars="193" w:left="2015" w:hangingChars="597" w:hanging="155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（二）初審：定期評量前兩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命題教師將試卷及雙向細目表、試題檢核表上傳至共同命題雲端空間及本校網芳公告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上傳區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，並列印紙本交付該組教師，由教導主任召集各命題教師於考前兩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之週三進行初審。（初審主要在審查內容的適當性與錯誤修正）</w:t>
      </w:r>
    </w:p>
    <w:p w14:paraId="2E353411" w14:textId="77777777" w:rsidR="00E946DB" w:rsidRDefault="00E946DB" w:rsidP="00E946DB">
      <w:pPr>
        <w:spacing w:line="276" w:lineRule="auto"/>
        <w:ind w:leftChars="193" w:left="2015" w:hangingChars="597" w:hanging="155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審：審題教師於考前一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之週一將初審修正後的試卷及各項表格交付教導處，並由教導處進行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審。（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審主要透過雙向細目分析，審查試卷的客觀性）</w:t>
      </w:r>
    </w:p>
    <w:p w14:paraId="4A1B47C4" w14:textId="77777777" w:rsidR="00E946DB" w:rsidRDefault="00E946DB" w:rsidP="00E946DB">
      <w:pPr>
        <w:spacing w:line="276" w:lineRule="auto"/>
        <w:ind w:leftChars="193" w:left="2015" w:hangingChars="597" w:hanging="155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新細明體" w:hAnsi="新細明體" w:cs="新細明體" w:hint="eastAsia"/>
          <w:sz w:val="26"/>
          <w:szCs w:val="26"/>
        </w:rPr>
        <w:t>✽</w:t>
      </w:r>
      <w:r>
        <w:rPr>
          <w:rFonts w:ascii="標楷體" w:eastAsia="標楷體" w:hAnsi="標楷體" w:hint="eastAsia"/>
          <w:sz w:val="26"/>
          <w:szCs w:val="26"/>
        </w:rPr>
        <w:t>審查時須注意下列事項：</w:t>
      </w:r>
    </w:p>
    <w:p w14:paraId="139D1102" w14:textId="77777777" w:rsidR="00E946DB" w:rsidRDefault="00E946DB" w:rsidP="00E946DB">
      <w:pPr>
        <w:spacing w:line="276" w:lineRule="auto"/>
        <w:ind w:leftChars="295" w:left="989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1.出題者應隨試題檢附此次定期評量範圍之雙向細目表、試題檢核表。</w:t>
      </w:r>
    </w:p>
    <w:p w14:paraId="0BA2354C" w14:textId="77777777" w:rsidR="00E946DB" w:rsidRDefault="00E946DB" w:rsidP="00E946DB">
      <w:pPr>
        <w:spacing w:line="276" w:lineRule="auto"/>
        <w:ind w:leftChars="296" w:left="991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2.有需修改的地方，請在原試卷上標示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清楚，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以利出題老師修正，並於修正後將確認版試卷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電子檔交至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教導處進行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審。</w:t>
      </w:r>
    </w:p>
    <w:p w14:paraId="68E36798" w14:textId="77777777" w:rsidR="00E946DB" w:rsidRDefault="00E946DB" w:rsidP="00E946DB">
      <w:pPr>
        <w:spacing w:line="276" w:lineRule="auto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3.審查教師須經初審後確認命題者已修正試卷方能於試題檢核表簽章。</w:t>
      </w:r>
    </w:p>
    <w:p w14:paraId="770A1AE4" w14:textId="77777777" w:rsidR="00E946DB" w:rsidRDefault="00E946DB" w:rsidP="00E946DB">
      <w:pPr>
        <w:spacing w:line="276" w:lineRule="auto"/>
        <w:ind w:leftChars="193" w:left="2015" w:hangingChars="597" w:hanging="155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（四）定稿：各種修正工作須於考試前一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之週三前完成，並交付教務組進行試卷複印。</w:t>
      </w:r>
    </w:p>
    <w:p w14:paraId="59B69383" w14:textId="77777777" w:rsidR="00E946DB" w:rsidRDefault="00E946DB" w:rsidP="00E946DB">
      <w:pPr>
        <w:spacing w:line="276" w:lineRule="auto"/>
        <w:ind w:leftChars="193" w:left="1235" w:hangingChars="297" w:hanging="7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（五）分析：命題教師於考後進行評量及試卷分析、檢討，作為教學及命題參考依據。</w:t>
      </w:r>
    </w:p>
    <w:p w14:paraId="4C45FE01" w14:textId="77777777" w:rsidR="00E946DB" w:rsidRPr="006419DE" w:rsidRDefault="00E946DB" w:rsidP="00E946DB">
      <w:pPr>
        <w:spacing w:line="276" w:lineRule="auto"/>
        <w:ind w:leftChars="193" w:left="1235" w:hangingChars="297" w:hanging="7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（六）上傳：定期評量完畢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內將考試成績上傳。</w:t>
      </w:r>
    </w:p>
    <w:p w14:paraId="342E380B" w14:textId="77777777" w:rsidR="00E946DB" w:rsidRPr="006419DE" w:rsidRDefault="00E946DB" w:rsidP="00E946D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6419DE">
        <w:rPr>
          <w:rFonts w:ascii="標楷體" w:eastAsia="標楷體" w:hAnsi="標楷體" w:hint="eastAsia"/>
          <w:b/>
          <w:sz w:val="26"/>
          <w:szCs w:val="26"/>
        </w:rPr>
        <w:t>捌、注意事項</w:t>
      </w:r>
    </w:p>
    <w:p w14:paraId="6C28C301" w14:textId="77777777" w:rsidR="00E946DB" w:rsidRDefault="00E946DB" w:rsidP="00E946DB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1、試卷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或題本</w:t>
      </w:r>
      <w:proofErr w:type="gramEnd"/>
      <w:r>
        <w:rPr>
          <w:rFonts w:ascii="標楷體" w:eastAsia="標楷體" w:hAnsi="標楷體" w:hint="eastAsia"/>
          <w:sz w:val="26"/>
          <w:szCs w:val="26"/>
        </w:rPr>
        <w:t>抬頭請以下列格式製作(括弧拿掉)：</w:t>
      </w:r>
    </w:p>
    <w:p w14:paraId="72CDE25D" w14:textId="77777777" w:rsidR="00E946DB" w:rsidRDefault="00E946DB" w:rsidP="00E946DB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113學年度第一學期南化西埔左鎮國小三校聯合命題 (   )年級(   )科期( )評量試題本</w:t>
      </w:r>
    </w:p>
    <w:p w14:paraId="5F72044B" w14:textId="77777777" w:rsidR="00E946DB" w:rsidRDefault="00E946DB" w:rsidP="00E946DB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範圍:               座號:(     )      姓名:(                 )</w:t>
      </w:r>
    </w:p>
    <w:p w14:paraId="341B8A7D" w14:textId="77777777" w:rsidR="00E946DB" w:rsidRPr="00F42470" w:rsidRDefault="00E946DB" w:rsidP="00E946DB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proofErr w:type="gramStart"/>
      <w:r w:rsidRPr="00F42470">
        <w:rPr>
          <w:rFonts w:ascii="標楷體" w:eastAsia="標楷體" w:hAnsi="標楷體" w:hint="eastAsia"/>
          <w:sz w:val="26"/>
          <w:szCs w:val="26"/>
        </w:rPr>
        <w:t>題本大小</w:t>
      </w:r>
      <w:proofErr w:type="gramEnd"/>
      <w:r w:rsidRPr="00F42470">
        <w:rPr>
          <w:rFonts w:ascii="標楷體" w:eastAsia="標楷體" w:hAnsi="標楷體" w:hint="eastAsia"/>
          <w:sz w:val="26"/>
          <w:szCs w:val="26"/>
        </w:rPr>
        <w:t>以A4為</w:t>
      </w:r>
      <w:proofErr w:type="gramStart"/>
      <w:r w:rsidRPr="00F42470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F42470">
        <w:rPr>
          <w:rFonts w:ascii="標楷體" w:eastAsia="標楷體" w:hAnsi="標楷體" w:hint="eastAsia"/>
          <w:sz w:val="26"/>
          <w:szCs w:val="26"/>
        </w:rPr>
        <w:t>，視需要加以注音並留意破音字是否正確。</w:t>
      </w:r>
    </w:p>
    <w:p w14:paraId="1F9C9DB3" w14:textId="77777777" w:rsidR="00E946DB" w:rsidRDefault="00E946DB" w:rsidP="00E946DB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3、命題教師須依既定流程，準時完成任務，以免延誤影響整體進度。</w:t>
      </w:r>
    </w:p>
    <w:p w14:paraId="565AB005" w14:textId="77777777" w:rsidR="00E946DB" w:rsidRDefault="00E946DB" w:rsidP="00E946DB">
      <w:pPr>
        <w:spacing w:line="276" w:lineRule="auto"/>
        <w:rPr>
          <w:rFonts w:ascii="標楷體" w:eastAsia="標楷體" w:hAnsi="標楷體" w:cs="Arial"/>
          <w:b/>
          <w:sz w:val="26"/>
        </w:rPr>
      </w:pPr>
    </w:p>
    <w:p w14:paraId="701FA168" w14:textId="77777777" w:rsidR="00E946DB" w:rsidRPr="006419DE" w:rsidRDefault="00E946DB" w:rsidP="00E946DB">
      <w:pPr>
        <w:spacing w:line="276" w:lineRule="auto"/>
        <w:rPr>
          <w:rFonts w:ascii="標楷體" w:eastAsia="標楷體" w:hAnsi="標楷體" w:cs="Arial"/>
          <w:b/>
          <w:sz w:val="26"/>
        </w:rPr>
      </w:pPr>
      <w:r w:rsidRPr="006419DE">
        <w:rPr>
          <w:rFonts w:ascii="標楷體" w:eastAsia="標楷體" w:hAnsi="標楷體" w:cs="Arial" w:hint="eastAsia"/>
          <w:b/>
          <w:sz w:val="26"/>
        </w:rPr>
        <w:t>玖、本計畫經校長核定後實施，修正時亦同。</w:t>
      </w:r>
    </w:p>
    <w:p w14:paraId="7E3633B6" w14:textId="77777777" w:rsidR="009D08FE" w:rsidRPr="00E946DB" w:rsidRDefault="009D08FE"/>
    <w:sectPr w:rsidR="009D08FE" w:rsidRPr="00E946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457F" w14:textId="77777777" w:rsidR="00F63027" w:rsidRDefault="00F63027" w:rsidP="00E946DB">
      <w:r>
        <w:separator/>
      </w:r>
    </w:p>
  </w:endnote>
  <w:endnote w:type="continuationSeparator" w:id="0">
    <w:p w14:paraId="3AB03BCE" w14:textId="77777777" w:rsidR="00F63027" w:rsidRDefault="00F63027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78CE" w14:textId="77777777" w:rsidR="00F63027" w:rsidRDefault="00F63027" w:rsidP="00E946DB">
      <w:r>
        <w:separator/>
      </w:r>
    </w:p>
  </w:footnote>
  <w:footnote w:type="continuationSeparator" w:id="0">
    <w:p w14:paraId="3D84B47D" w14:textId="77777777" w:rsidR="00F63027" w:rsidRDefault="00F63027" w:rsidP="00E9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6886"/>
    <w:multiLevelType w:val="hybridMultilevel"/>
    <w:tmpl w:val="35F41C4C"/>
    <w:lvl w:ilvl="0" w:tplc="81FC1348">
      <w:start w:val="3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256633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0"/>
    <w:rsid w:val="00321CDE"/>
    <w:rsid w:val="00536FBD"/>
    <w:rsid w:val="006A1CC0"/>
    <w:rsid w:val="009D08FE"/>
    <w:rsid w:val="00B7679B"/>
    <w:rsid w:val="00E946DB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56BA1F-B637-45AA-B36C-E2379D98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DB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C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C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C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C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C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C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1CC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1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1CC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1C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1C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1C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1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C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94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946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2025-06-02T06:45:00Z</dcterms:created>
  <dcterms:modified xsi:type="dcterms:W3CDTF">2025-06-02T06:45:00Z</dcterms:modified>
</cp:coreProperties>
</file>